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50" w:firstLineChars="1100"/>
        <w:rPr>
          <w:rFonts w:hint="default" w:ascii="Times New Roman" w:hAnsi="Times New Roman" w:cs="Times New Roman"/>
          <w:b/>
          <w:bCs/>
          <w:sz w:val="24"/>
          <w:szCs w:val="32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 xml:space="preserve">RY-ZH </w:t>
      </w:r>
      <w:r>
        <w:rPr>
          <w:rFonts w:hint="default" w:ascii="Times New Roman" w:hAnsi="Times New Roman" w:cs="Times New Roman"/>
          <w:b/>
          <w:bCs/>
          <w:sz w:val="24"/>
          <w:szCs w:val="32"/>
        </w:rPr>
        <w:t xml:space="preserve">Rotary 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D</w:t>
      </w:r>
      <w:r>
        <w:rPr>
          <w:rFonts w:hint="default" w:ascii="Times New Roman" w:hAnsi="Times New Roman" w:cs="Times New Roman"/>
          <w:b/>
          <w:bCs/>
          <w:sz w:val="24"/>
          <w:szCs w:val="32"/>
        </w:rPr>
        <w:t>ryer</w:t>
      </w:r>
    </w:p>
    <w:p>
      <w:pPr>
        <w:rPr>
          <w:rFonts w:hint="default" w:ascii="Times New Roman" w:hAnsi="Times New Roman" w:cs="Times New Roman"/>
          <w:b/>
          <w:bCs/>
          <w:sz w:val="22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sz w:val="22"/>
          <w:szCs w:val="28"/>
        </w:rPr>
      </w:pP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>M</w: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t xml:space="preserve">ain </w:t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>application</w: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t xml:space="preserve"> and characteristics of the equipment</w:t>
      </w:r>
    </w:p>
    <w:p>
      <w:pPr>
        <w:jc w:val="left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</w:rPr>
        <w:t>Rotary dryer is mainly used for drying fertili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z</w:t>
      </w:r>
      <w:r>
        <w:rPr>
          <w:rFonts w:hint="default" w:ascii="Times New Roman" w:hAnsi="Times New Roman" w:cs="Times New Roman"/>
          <w:sz w:val="22"/>
          <w:szCs w:val="28"/>
        </w:rPr>
        <w:t>er with certain humidity and particle size, also can be used for drying other materials. The machine has a reasonable design of the distribution and angle of the lifting plate, reliable performance, high utili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z</w:t>
      </w:r>
      <w:r>
        <w:rPr>
          <w:rFonts w:hint="default" w:ascii="Times New Roman" w:hAnsi="Times New Roman" w:cs="Times New Roman"/>
          <w:sz w:val="22"/>
          <w:szCs w:val="28"/>
        </w:rPr>
        <w:t>ation of thermal energy, even drying, less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</w:rPr>
        <w:t>cleaning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needs</w:t>
      </w:r>
      <w:r>
        <w:rPr>
          <w:rFonts w:hint="default" w:ascii="Times New Roman" w:hAnsi="Times New Roman" w:cs="Times New Roman"/>
          <w:sz w:val="22"/>
          <w:szCs w:val="28"/>
        </w:rPr>
        <w:t xml:space="preserve"> of materials, easy to use and maintain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.</w:t>
      </w:r>
    </w:p>
    <w:p>
      <w:pPr>
        <w:jc w:val="left"/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The simple body part includes spiral material guide area, preheating area, secondary granulation area, combined coping area, granule strengthening and polishing area, and built-in noise reducing vibrator (anti-bonding).</w:t>
      </w:r>
    </w:p>
    <w:p/>
    <w:p>
      <w:pPr>
        <w:rPr>
          <w:rFonts w:hint="default" w:ascii="Times New Roman" w:hAnsi="Times New Roman" w:cs="Times New Roman"/>
          <w:b/>
          <w:bCs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>Main technical parameter</w:t>
      </w:r>
    </w:p>
    <w:tbl>
      <w:tblPr>
        <w:tblStyle w:val="3"/>
        <w:tblpPr w:leftFromText="180" w:rightFromText="180" w:vertAnchor="text" w:horzAnchor="page" w:tblpX="781" w:tblpY="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5C7EA" w:themeFill="accent1" w:themeFillTint="6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351" w:type="dxa"/>
            <w:gridSpan w:val="2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Cambria" w:hAnsi="Cambria" w:cs="Cambria" w:eastAsiaTheme="minor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mbria" w:hAnsi="Cambria" w:cs="Cambria"/>
                <w:sz w:val="16"/>
                <w:szCs w:val="20"/>
                <w:vertAlign w:val="baseline"/>
                <w:lang w:val="en-US" w:eastAsia="zh-CN"/>
              </w:rPr>
              <w:t>Model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5C7EA" w:themeFill="accent1" w:themeFillTint="6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97" w:type="dxa"/>
            <w:vMerge w:val="restart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Cambria" w:hAnsi="Cambria" w:cs="Cambr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mbria" w:hAnsi="Cambria" w:cs="Cambria"/>
                <w:sz w:val="16"/>
                <w:szCs w:val="20"/>
                <w:vertAlign w:val="baseline"/>
                <w:lang w:val="en-US" w:eastAsia="zh-CN"/>
              </w:rPr>
              <w:t>Drum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Cambria" w:hAnsi="Cambria" w:cs="Cambr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mbria" w:hAnsi="Cambria" w:cs="Cambria"/>
                <w:sz w:val="16"/>
                <w:szCs w:val="20"/>
                <w:vertAlign w:val="baseline"/>
                <w:lang w:val="en-US" w:eastAsia="zh-CN"/>
              </w:rPr>
              <w:t>body</w:t>
            </w:r>
          </w:p>
        </w:tc>
        <w:tc>
          <w:tcPr>
            <w:tcW w:w="1654" w:type="dxa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Cambria" w:hAnsi="Cambria" w:cs="Cambria"/>
                <w:sz w:val="16"/>
                <w:szCs w:val="20"/>
                <w:vertAlign w:val="baseline"/>
              </w:rPr>
            </w:pPr>
            <w:r>
              <w:rPr>
                <w:rFonts w:hint="default" w:ascii="Cambria" w:hAnsi="Cambria" w:cs="Cambria"/>
                <w:sz w:val="16"/>
                <w:szCs w:val="20"/>
                <w:vertAlign w:val="baseline"/>
              </w:rPr>
              <w:t>inner diameter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Cambria" w:hAnsi="Cambria" w:cs="Cambria" w:eastAsiaTheme="minorEastAsia"/>
                <w:sz w:val="16"/>
                <w:szCs w:val="20"/>
                <w:vertAlign w:val="baseline"/>
                <w:lang w:eastAsia="zh-CN"/>
              </w:rPr>
            </w:pPr>
            <w:r>
              <w:rPr>
                <w:rFonts w:hint="eastAsia" w:ascii="Cambria" w:hAnsi="Cambria" w:cs="Cambria"/>
                <w:sz w:val="16"/>
                <w:szCs w:val="20"/>
                <w:vertAlign w:val="baseline"/>
                <w:lang w:eastAsia="zh-CN"/>
              </w:rPr>
              <w:t>（</w:t>
            </w:r>
            <w:r>
              <w:rPr>
                <w:rFonts w:hint="eastAsia" w:ascii="Cambria" w:hAnsi="Cambria" w:cs="Cambria"/>
                <w:sz w:val="16"/>
                <w:szCs w:val="20"/>
                <w:vertAlign w:val="baseline"/>
                <w:lang w:val="en-US" w:eastAsia="zh-CN"/>
              </w:rPr>
              <w:t>mm</w:t>
            </w:r>
            <w:r>
              <w:rPr>
                <w:rFonts w:hint="eastAsia" w:ascii="Cambria" w:hAnsi="Cambria" w:cs="Cambria"/>
                <w:sz w:val="16"/>
                <w:szCs w:val="20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5C7EA" w:themeFill="accent1" w:themeFillTint="6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97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Cambria" w:hAnsi="Cambria" w:cs="Cambria"/>
                <w:sz w:val="16"/>
                <w:szCs w:val="20"/>
                <w:vertAlign w:val="baseline"/>
              </w:rPr>
            </w:pPr>
          </w:p>
        </w:tc>
        <w:tc>
          <w:tcPr>
            <w:tcW w:w="1654" w:type="dxa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Cambria" w:hAnsi="Cambria" w:cs="Cambr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mbria" w:hAnsi="Cambria" w:cs="Cambria"/>
                <w:sz w:val="16"/>
                <w:szCs w:val="20"/>
                <w:vertAlign w:val="baseline"/>
                <w:lang w:val="en-US" w:eastAsia="zh-CN"/>
              </w:rPr>
              <w:t>Length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Cambria" w:hAnsi="Cambria" w:cs="Cambr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mbria" w:hAnsi="Cambria" w:cs="Cambria"/>
                <w:sz w:val="16"/>
                <w:szCs w:val="20"/>
                <w:vertAlign w:val="baseline"/>
                <w:lang w:val="en-US" w:eastAsia="zh-CN"/>
              </w:rPr>
              <w:t>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5C7EA" w:themeFill="accent1" w:themeFillTint="6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97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Cambria" w:hAnsi="Cambria" w:cs="Cambria"/>
                <w:sz w:val="16"/>
                <w:szCs w:val="20"/>
                <w:vertAlign w:val="baseline"/>
              </w:rPr>
            </w:pPr>
          </w:p>
        </w:tc>
        <w:tc>
          <w:tcPr>
            <w:tcW w:w="1654" w:type="dxa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Cambria" w:hAnsi="Cambria" w:cs="Cambria" w:eastAsiaTheme="minor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mbria" w:hAnsi="Cambria" w:cs="Cambria"/>
                <w:sz w:val="16"/>
                <w:szCs w:val="20"/>
                <w:vertAlign w:val="baseline"/>
                <w:lang w:val="en-US" w:eastAsia="zh-CN"/>
              </w:rPr>
              <w:t>Rotation speed(r/min)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5C7EA" w:themeFill="accent1" w:themeFillTint="6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351" w:type="dxa"/>
            <w:gridSpan w:val="2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Cambria" w:hAnsi="Cambria" w:cs="Cambria" w:eastAsiaTheme="minor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mbria" w:hAnsi="Cambria" w:cs="Cambria"/>
                <w:sz w:val="16"/>
                <w:szCs w:val="20"/>
                <w:vertAlign w:val="baseline"/>
                <w:lang w:val="en-US" w:eastAsia="zh-CN"/>
              </w:rPr>
              <w:t>Productivity(T)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5C7EA" w:themeFill="accent1" w:themeFillTint="6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97" w:type="dxa"/>
            <w:vMerge w:val="restart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Cambria" w:hAnsi="Cambria" w:cs="Cambria" w:eastAsiaTheme="minor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mbria" w:hAnsi="Cambria" w:cs="Cambria"/>
                <w:sz w:val="16"/>
                <w:szCs w:val="20"/>
                <w:vertAlign w:val="baseline"/>
                <w:lang w:val="en-US" w:eastAsia="zh-CN"/>
              </w:rPr>
              <w:t>Motor</w:t>
            </w:r>
          </w:p>
        </w:tc>
        <w:tc>
          <w:tcPr>
            <w:tcW w:w="1654" w:type="dxa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Cambria" w:hAnsi="Cambria" w:cs="Cambria" w:eastAsiaTheme="minor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mbria" w:hAnsi="Cambria" w:cs="Cambria"/>
                <w:sz w:val="16"/>
                <w:szCs w:val="20"/>
                <w:vertAlign w:val="baseline"/>
                <w:lang w:val="en-US" w:eastAsia="zh-CN"/>
              </w:rPr>
              <w:t>Power(kw)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5C7EA" w:themeFill="accent1" w:themeFillTint="6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97" w:type="dxa"/>
            <w:vMerge w:val="continue"/>
            <w:tcBorders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Cambria" w:hAnsi="Cambria" w:cs="Cambria"/>
                <w:sz w:val="16"/>
                <w:szCs w:val="20"/>
                <w:vertAlign w:val="baseline"/>
              </w:rPr>
            </w:pPr>
          </w:p>
        </w:tc>
        <w:tc>
          <w:tcPr>
            <w:tcW w:w="1654" w:type="dxa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Cambria" w:hAnsi="Cambria" w:cs="Cambria"/>
                <w:sz w:val="16"/>
                <w:szCs w:val="20"/>
                <w:vertAlign w:val="baseline"/>
              </w:rPr>
            </w:pPr>
            <w:r>
              <w:rPr>
                <w:rFonts w:hint="eastAsia" w:ascii="Cambria" w:hAnsi="Cambria" w:cs="Cambria"/>
                <w:sz w:val="16"/>
                <w:szCs w:val="20"/>
                <w:vertAlign w:val="baseline"/>
                <w:lang w:val="en-US" w:eastAsia="zh-CN"/>
              </w:rPr>
              <w:t>Rotation speed(r/min)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5C7EA" w:themeFill="accent1" w:themeFillTint="6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351" w:type="dxa"/>
            <w:gridSpan w:val="2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Cambria" w:hAnsi="Cambria" w:cs="Cambria"/>
                <w:sz w:val="16"/>
                <w:szCs w:val="20"/>
                <w:vertAlign w:val="baseline"/>
              </w:rPr>
            </w:pPr>
            <w:r>
              <w:rPr>
                <w:rFonts w:hint="default" w:ascii="Cambria" w:hAnsi="Cambria" w:cs="Cambria"/>
                <w:sz w:val="16"/>
                <w:szCs w:val="20"/>
                <w:vertAlign w:val="baseline"/>
              </w:rPr>
              <w:t>Reducer Model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-1313815</wp:posOffset>
            </wp:positionH>
            <wp:positionV relativeFrom="paragraph">
              <wp:posOffset>2858135</wp:posOffset>
            </wp:positionV>
            <wp:extent cx="6170295" cy="3456305"/>
            <wp:effectExtent l="0" t="0" r="1905" b="31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0295" cy="345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-332740</wp:posOffset>
            </wp:positionH>
            <wp:positionV relativeFrom="paragraph">
              <wp:posOffset>23495</wp:posOffset>
            </wp:positionV>
            <wp:extent cx="5210175" cy="2336800"/>
            <wp:effectExtent l="0" t="0" r="1905" b="1016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OTRhMTY3ZWZjODc5YzM2M2RmOWMwNDZkODA4ZmIifQ=="/>
  </w:docVars>
  <w:rsids>
    <w:rsidRoot w:val="73582555"/>
    <w:rsid w:val="4CC90409"/>
    <w:rsid w:val="7358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2023-09-19T01:08:00Z</dcterms:created>
  <dc:creator>搜狐自媒体艺食家Judy</dc:creator>
  <cp:lastModifiedBy>搜狐自媒体艺食家Judy</cp:lastModifiedBy>
  <dcterms:modified xsi:type="dcterms:W3CDTF">2023-09-19T01:44:19Z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6B4B892B377E43D0894FF956C2E9BD67_11</vt:lpwstr>
  </property>
</Properties>
</file>